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Associação de Amigos da Antiga Sé (SAMAS), em conformidade com a Lei Complementar nº 210/2024, que regula a proposição e execução de emendas parlamentares, reafirma seu compromisso com a transparência e responsabilidade na gestão de recursos públicos.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Por meio desta página, disponibilizamos informações detalhadas sobre os Termos de Colaboração firmados com o Instituto do Patrimônio Histórico e Artístico Nacional (IPHAN), viabilizados por emendas parlamentares destinadas pelos deputados Reimont Luiz Otoni Santa Bárbara (2024 - R$ 1.100.000,00 / 2025 - R$ 1.300.000,00), Luiz Philippe de Orléans e Bragança (2024 - R$ 1.450.000,00), Chris Tonietto (2025 - R$ 300.000,00) e Laura Carneiro (2025 - R$ 1.200.000,00).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Este espaço busca garantir o acesso público a dados sobre os projetos executados, seus impactos na preservação do patrimônio cultural, e a correta aplicação dos recursos destinados, alinhando-se aos princípios de publicidade e eficiência na administração pública.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Termo de Fomento no. 977437/2025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Objeto: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 objeto do Termo de Colaboração é a Realização de obras de restauração de Igrejas do Rio de Janeiro, a saber: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 –Restauração da Igreja da Paróquia de São Sebastião dos Capuchinhos – Tijuca: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Objeto: Restauração da Fachada Lateral Direita da Igreja.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2 - Restauração do Oratório da Providência: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Objeto: Retirada da vegetação invasora, impermeabilização da cobertura, recuperação do emboço, restauração das esquadrias 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pintura.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 – Restauração da Paróquia de Santa Terezinha – Tijuca: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Objeto: Reparo do emboço, calhas e pintura da fachada lateral direita.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4 - Igreja de São Daniel Profeta - Manguinhos: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Objeto: Reforço Estrutural.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5 - Igreja de Santo Afonso - tijuca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Objeto: Restauração da Fachada Principal.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6 - Requalificação da Arqueologia da Igreja de Nossa Senhora do Carmo da Antiga Sé - Centro: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Objeto: Requalificação da Exposição e tratamento da arqueologia.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7 - Igreja de Nossa Senhora da Ajuda - Ilha do Governador: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Objeto: Restauração Interna, Instalações Elétricas e de Combate à Incêndio.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8 - Igreja de Nossa Senhora da Apresentação - Irajá: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Objeto: Adequação das instalações elétricas da nave da igreja com troca de quadros e cabeamento.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Valor total: R$ 2.800.000,00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Vigência: 12 meses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Fonte de Financiamento: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Emenda Individual 39420017 - Deputadas Chris Tonietto (R$ 300.000,00);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Emenda Individual 32680007 - ⁠Laura Carneiro (R$ 1.200.000,00)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Emenda Individual 44560010 - ⁠Deputado Reimont (R$ 1.300.000,00)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